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6C" w:rsidRDefault="00D7756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7756C" w:rsidRDefault="00D7756C">
      <w:pPr>
        <w:pStyle w:val="ConsPlusNormal"/>
        <w:jc w:val="both"/>
        <w:outlineLvl w:val="0"/>
      </w:pPr>
    </w:p>
    <w:p w:rsidR="00D7756C" w:rsidRDefault="00D7756C">
      <w:pPr>
        <w:pStyle w:val="ConsPlusTitle"/>
        <w:jc w:val="center"/>
        <w:outlineLvl w:val="0"/>
      </w:pPr>
      <w:r>
        <w:t>КОЛЛЕГИЯ ЕВРАЗИЙСКОЙ ЭКОНОМИЧЕСКОЙ КОМИССИИ</w:t>
      </w:r>
    </w:p>
    <w:p w:rsidR="00D7756C" w:rsidRDefault="00D7756C">
      <w:pPr>
        <w:pStyle w:val="ConsPlusTitle"/>
        <w:jc w:val="both"/>
      </w:pPr>
    </w:p>
    <w:p w:rsidR="00D7756C" w:rsidRDefault="00D7756C">
      <w:pPr>
        <w:pStyle w:val="ConsPlusTitle"/>
        <w:jc w:val="center"/>
      </w:pPr>
      <w:r>
        <w:t>РЕШЕНИЕ</w:t>
      </w:r>
    </w:p>
    <w:p w:rsidR="00D7756C" w:rsidRDefault="00D7756C">
      <w:pPr>
        <w:pStyle w:val="ConsPlusTitle"/>
        <w:jc w:val="center"/>
      </w:pPr>
      <w:r>
        <w:t>от 20 марта 2018 г. N 41</w:t>
      </w:r>
    </w:p>
    <w:p w:rsidR="00D7756C" w:rsidRDefault="00D7756C">
      <w:pPr>
        <w:pStyle w:val="ConsPlusTitle"/>
        <w:jc w:val="both"/>
      </w:pPr>
    </w:p>
    <w:p w:rsidR="00D7756C" w:rsidRDefault="00D7756C">
      <w:pPr>
        <w:pStyle w:val="ConsPlusTitle"/>
        <w:jc w:val="center"/>
      </w:pPr>
      <w:r>
        <w:t>О ПОРЯДКЕ</w:t>
      </w:r>
    </w:p>
    <w:p w:rsidR="00D7756C" w:rsidRDefault="00D7756C">
      <w:pPr>
        <w:pStyle w:val="ConsPlusTitle"/>
        <w:jc w:val="center"/>
      </w:pPr>
      <w:r>
        <w:t>РЕГИСТРАЦИИ, ПРИОСТАНОВЛЕНИЯ, ВОЗОБНОВЛЕНИЯ И ПРЕКРАЩЕНИЯ</w:t>
      </w:r>
    </w:p>
    <w:p w:rsidR="00D7756C" w:rsidRDefault="00D7756C">
      <w:pPr>
        <w:pStyle w:val="ConsPlusTitle"/>
        <w:jc w:val="center"/>
      </w:pPr>
      <w:r>
        <w:t>ДЕЙСТВИЯ ДЕКЛАРАЦИЙ О СООТВЕТСТВИИ ПРОДУКЦИИ ТРЕБОВАНИЯМ</w:t>
      </w:r>
    </w:p>
    <w:p w:rsidR="00D7756C" w:rsidRDefault="00D7756C">
      <w:pPr>
        <w:pStyle w:val="ConsPlusTitle"/>
        <w:jc w:val="center"/>
      </w:pPr>
      <w:r>
        <w:t>ТЕХНИЧЕСКИХ РЕГЛАМЕНТОВ ЕВРАЗИЙСКОГО ЭКОНОМИЧЕСКОГО СОЮЗА</w:t>
      </w:r>
    </w:p>
    <w:p w:rsidR="00D7756C" w:rsidRDefault="00D7756C">
      <w:pPr>
        <w:pStyle w:val="ConsPlusNormal"/>
        <w:jc w:val="both"/>
      </w:pPr>
    </w:p>
    <w:p w:rsidR="00D7756C" w:rsidRDefault="00D7756C">
      <w:pPr>
        <w:pStyle w:val="ConsPlusNormal"/>
        <w:ind w:firstLine="540"/>
        <w:jc w:val="both"/>
      </w:pPr>
      <w:r>
        <w:t xml:space="preserve">В целях реализации положений технических регламентов Евразийского экономического союза (технических регламентов Таможенного союза) и в соответствии со </w:t>
      </w:r>
      <w:hyperlink r:id="rId5" w:history="1">
        <w:r>
          <w:rPr>
            <w:color w:val="0000FF"/>
          </w:rPr>
          <w:t>статьей 18</w:t>
        </w:r>
      </w:hyperlink>
      <w:r>
        <w:t xml:space="preserve"> Договора о Евразийском экономическом союзе от 29 мая 2014 года Коллегия Евразийской экономической комиссии решила: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регистрации, приостановления, возобновления и прекращения действия деклараций о соответствии продукции требованиям технических регламентов Евразийского экономического союза.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>2. Установить, что декларации о соответствии требованиям технических регламентов Евразийского экономического союза (Таможенного союза), зарегистрированные до вступления настоящего Решения в силу, действительны до окончания срока их действия.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6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9 апреля 2013 г. N 76 "Об утверждении Положения о регистрации деклараций о соответствии продукции требованиям технических регламентов Таможенного союза".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>4. Настоящее Решение вступает в силу с 1 июля 2018 г.</w:t>
      </w:r>
    </w:p>
    <w:p w:rsidR="00D7756C" w:rsidRDefault="00D7756C">
      <w:pPr>
        <w:pStyle w:val="ConsPlusNormal"/>
        <w:jc w:val="both"/>
      </w:pPr>
    </w:p>
    <w:p w:rsidR="00D7756C" w:rsidRDefault="00D7756C">
      <w:pPr>
        <w:pStyle w:val="ConsPlusNormal"/>
        <w:jc w:val="right"/>
      </w:pPr>
      <w:r>
        <w:t>Председатель Коллегии</w:t>
      </w:r>
    </w:p>
    <w:p w:rsidR="00D7756C" w:rsidRDefault="00D7756C">
      <w:pPr>
        <w:pStyle w:val="ConsPlusNormal"/>
        <w:jc w:val="right"/>
      </w:pPr>
      <w:r>
        <w:t>Евразийской экономической комиссии</w:t>
      </w:r>
    </w:p>
    <w:p w:rsidR="00D7756C" w:rsidRDefault="00D7756C">
      <w:pPr>
        <w:pStyle w:val="ConsPlusNormal"/>
        <w:jc w:val="right"/>
      </w:pPr>
      <w:r>
        <w:t>Т.САРКИСЯН</w:t>
      </w:r>
    </w:p>
    <w:p w:rsidR="00D7756C" w:rsidRDefault="00D7756C">
      <w:pPr>
        <w:pStyle w:val="ConsPlusNormal"/>
        <w:jc w:val="both"/>
      </w:pPr>
    </w:p>
    <w:p w:rsidR="00D7756C" w:rsidRDefault="00D7756C">
      <w:pPr>
        <w:pStyle w:val="ConsPlusNormal"/>
        <w:jc w:val="both"/>
      </w:pPr>
    </w:p>
    <w:p w:rsidR="00D7756C" w:rsidRDefault="00D7756C">
      <w:pPr>
        <w:pStyle w:val="ConsPlusNormal"/>
        <w:jc w:val="both"/>
      </w:pPr>
    </w:p>
    <w:p w:rsidR="00D7756C" w:rsidRDefault="00D7756C">
      <w:pPr>
        <w:pStyle w:val="ConsPlusNormal"/>
        <w:jc w:val="both"/>
      </w:pPr>
    </w:p>
    <w:p w:rsidR="00D7756C" w:rsidRDefault="00D7756C">
      <w:pPr>
        <w:pStyle w:val="ConsPlusNormal"/>
        <w:jc w:val="both"/>
      </w:pPr>
    </w:p>
    <w:p w:rsidR="00D7756C" w:rsidRDefault="00D7756C">
      <w:pPr>
        <w:pStyle w:val="ConsPlusNormal"/>
        <w:jc w:val="right"/>
        <w:outlineLvl w:val="0"/>
      </w:pPr>
      <w:r>
        <w:t>Утвержден</w:t>
      </w:r>
    </w:p>
    <w:p w:rsidR="00D7756C" w:rsidRDefault="00D7756C">
      <w:pPr>
        <w:pStyle w:val="ConsPlusNormal"/>
        <w:jc w:val="right"/>
      </w:pPr>
      <w:r>
        <w:t>Решением Коллегии</w:t>
      </w:r>
    </w:p>
    <w:p w:rsidR="00D7756C" w:rsidRDefault="00D7756C">
      <w:pPr>
        <w:pStyle w:val="ConsPlusNormal"/>
        <w:jc w:val="right"/>
      </w:pPr>
      <w:r>
        <w:t>Евразийской экономической комиссии</w:t>
      </w:r>
    </w:p>
    <w:p w:rsidR="00D7756C" w:rsidRDefault="00D7756C">
      <w:pPr>
        <w:pStyle w:val="ConsPlusNormal"/>
        <w:jc w:val="right"/>
      </w:pPr>
      <w:r>
        <w:t>от 20 марта 2018 г. N 41</w:t>
      </w:r>
    </w:p>
    <w:p w:rsidR="00D7756C" w:rsidRDefault="00D7756C">
      <w:pPr>
        <w:pStyle w:val="ConsPlusNormal"/>
        <w:jc w:val="both"/>
      </w:pPr>
    </w:p>
    <w:p w:rsidR="00D7756C" w:rsidRDefault="00D7756C">
      <w:pPr>
        <w:pStyle w:val="ConsPlusTitle"/>
        <w:jc w:val="center"/>
      </w:pPr>
      <w:bookmarkStart w:id="0" w:name="P30"/>
      <w:bookmarkEnd w:id="0"/>
      <w:r>
        <w:t>ПОРЯДОК</w:t>
      </w:r>
    </w:p>
    <w:p w:rsidR="00D7756C" w:rsidRDefault="00D7756C">
      <w:pPr>
        <w:pStyle w:val="ConsPlusTitle"/>
        <w:jc w:val="center"/>
      </w:pPr>
      <w:r>
        <w:t>РЕГИСТРАЦИИ, ПРИОСТАНОВЛЕНИЯ, ВОЗОБНОВЛЕНИЯ И ПРЕКРАЩЕНИЯ</w:t>
      </w:r>
    </w:p>
    <w:p w:rsidR="00D7756C" w:rsidRDefault="00D7756C">
      <w:pPr>
        <w:pStyle w:val="ConsPlusTitle"/>
        <w:jc w:val="center"/>
      </w:pPr>
      <w:r>
        <w:t>ДЕЙСТВИЯ ДЕКЛАРАЦИЙ О СООТВЕТСТВИИ ПРОДУКЦИИ ТРЕБОВАНИЯМ</w:t>
      </w:r>
    </w:p>
    <w:p w:rsidR="00D7756C" w:rsidRDefault="00D7756C">
      <w:pPr>
        <w:pStyle w:val="ConsPlusTitle"/>
        <w:jc w:val="center"/>
      </w:pPr>
      <w:r>
        <w:t>ТЕХНИЧЕСКИХ РЕГЛАМЕНТОВ ЕВРАЗИЙСКОГО ЭКОНОМИЧЕСКОГО СОЮЗА</w:t>
      </w:r>
    </w:p>
    <w:p w:rsidR="00D7756C" w:rsidRDefault="00D7756C">
      <w:pPr>
        <w:pStyle w:val="ConsPlusNormal"/>
        <w:jc w:val="both"/>
      </w:pPr>
    </w:p>
    <w:p w:rsidR="00D7756C" w:rsidRDefault="00D7756C">
      <w:pPr>
        <w:pStyle w:val="ConsPlusNormal"/>
        <w:ind w:firstLine="540"/>
        <w:jc w:val="both"/>
      </w:pPr>
      <w:r>
        <w:t>1. Настоящий Порядок устанавливает правила регистрации, приостановления, возобновления и прекращения действия деклараций о соответствии продукции требованиям технических регламентов Евразийского экономического союза (технических регламентов Таможенного союза) (далее соответственно - декларации о соответствии, технические регламенты, Союз).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lastRenderedPageBreak/>
        <w:t xml:space="preserve">2. Декларация о соответствии, составленная согласно единой </w:t>
      </w:r>
      <w:hyperlink r:id="rId7" w:history="1">
        <w:r>
          <w:rPr>
            <w:color w:val="0000FF"/>
          </w:rPr>
          <w:t>форме</w:t>
        </w:r>
      </w:hyperlink>
      <w:r>
        <w:t xml:space="preserve"> декларации о соответствии требованиям технического регламента Евразийского экономического союза и правилам ее оформления, утвержденным Решением Коллегии Евразийской экономической комиссии от 25 декабря 2012 г. N 293, подлежит регистрации в едином реестре выданных сертификатов соответствия и зарегистрированных деклараций о соответствии (далее - единый реестр).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>Декларация о соответствии считается зарегистрированной с момента присвоения ей регистрационного номера.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>3. Регистрация декларации о соответствии осуществляется уполномоченными на регистрацию деклараций о соответствии органами (организациями) государств - членов Союза (далее - государства-члены), в том числе аккредитованными органами по сертификации государств-членов, которые включены в единый реестр органов по оценке соответствия Союза и область аккредитации которых распространяется на декларируемую продукцию, если это предусмотрено законодательством государств-членов (далее соответственно - уполномоченные органы, органы по сертификации).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 xml:space="preserve">4. Для регистрации декларации о соответствии заявитель представляет в уполномоченный орган (орган по сертификации) декларацию о соответствии и прилагаемые к ней документы и сведения, предусмотренные </w:t>
      </w:r>
      <w:hyperlink w:anchor="P40" w:history="1">
        <w:r>
          <w:rPr>
            <w:color w:val="0000FF"/>
          </w:rPr>
          <w:t>пунктом 5</w:t>
        </w:r>
      </w:hyperlink>
      <w:r>
        <w:t xml:space="preserve"> настоящего Порядка, в виде электронных документов с использованием информационно-телекоммуникационной сети "Интернет" либо в виде документов на бумажном носителе заказным почтовым отправлением с описью вложения и уведомлением о вручении, если иное не установлено законодательством государства-члена.</w:t>
      </w:r>
    </w:p>
    <w:p w:rsidR="00D7756C" w:rsidRDefault="00D7756C">
      <w:pPr>
        <w:pStyle w:val="ConsPlusNormal"/>
        <w:spacing w:before="220"/>
        <w:ind w:firstLine="540"/>
        <w:jc w:val="both"/>
      </w:pPr>
      <w:bookmarkStart w:id="1" w:name="P40"/>
      <w:bookmarkEnd w:id="1"/>
      <w:r>
        <w:t>5. К декларации о соответствии прилагаются следующие документы и сведения:</w:t>
      </w:r>
    </w:p>
    <w:p w:rsidR="00D7756C" w:rsidRDefault="00D7756C">
      <w:pPr>
        <w:pStyle w:val="ConsPlusNormal"/>
        <w:spacing w:before="220"/>
        <w:ind w:firstLine="540"/>
        <w:jc w:val="both"/>
      </w:pPr>
      <w:bookmarkStart w:id="2" w:name="P41"/>
      <w:bookmarkEnd w:id="2"/>
      <w:r>
        <w:t>а) заявление о регистрации декларации о соответствии, оформленное в порядке, установленном законодательством государства-члена, подписанное заявителем и содержащее следующие сведения: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>полное наименование заявителя, его место нахождения (адрес юридического лица) и адрес (адреса) места осуществления деятельности (в случае если адреса различаются) - для юридического лица или фамилия, имя и отчество (при наличии), место жительства и адрес (адреса) места осуществления деятельности (в случае если адреса различаются) - для физического лица, зарегистрированного в качестве индивидуального предпринимателя, а также 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государств-членов, номер телефона и адрес электронной почты;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>полное наименование изготовителя продукции, его место нахождения (адрес юридического лица) и адрес (адреса) места осуществления деятельности по изготовлению продукции (в случае если адреса различаются) - для юридического лица и его филиалов, которые изготавливают продукцию, или фамилия, имя и отчество (при наличии), место жительства и адрес (адреса) места осуществления деятельности по изготовлению продукции (в случае если адреса различаются) - для физического лица, зарегистрированного в качестве индивидуального предпринимателя;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>наименование и обозначение продукции (в случаях, предусмотренных техническим регламентом) и (или) иное условное обозначение, присвоенное изготовителем продукции (при наличии);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>название продукции (в случаях, предусмотренных техническим регламентом) (при наличии);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>иные сведения о продукции, обеспечивающие ее идентификацию (при наличии);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lastRenderedPageBreak/>
        <w:t>обозначение и наименование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наличии);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 xml:space="preserve">код (коды) продукции в соответствии с единой Товарной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внешнеэкономической деятельности Евразийского экономического союза (далее - ТН ВЭД ЕАЭС);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>наименование объекта декларирования (серийный выпуск, партия или единичное изделие). Для продукции серийного выпуска производится запись "серийный выпуск". Для партии продукции указывается размер партии, для единичного изделия - заводской номер изделия. Для партии продукции и единичного изделия указываются реквизиты товаросопроводительной документации, идентифицирующей партию продукции (в том числе ее размер) или единичное изделие;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>наименование технического регламента (технических регламентов), требованиям которого соответствует продукция;</w:t>
      </w:r>
    </w:p>
    <w:p w:rsidR="00D7756C" w:rsidRDefault="00D7756C">
      <w:pPr>
        <w:pStyle w:val="ConsPlusNormal"/>
        <w:spacing w:before="220"/>
        <w:ind w:firstLine="540"/>
        <w:jc w:val="both"/>
      </w:pPr>
      <w:bookmarkStart w:id="3" w:name="P51"/>
      <w:bookmarkEnd w:id="3"/>
      <w:r>
        <w:t>б) сведения, подтверждающие государственную регистрацию юридического лица или физического лица в качестве индивидуального предпринимателя в соответствии с законодательством государства-члена;</w:t>
      </w:r>
    </w:p>
    <w:p w:rsidR="00D7756C" w:rsidRDefault="00D7756C">
      <w:pPr>
        <w:pStyle w:val="ConsPlusNormal"/>
        <w:spacing w:before="220"/>
        <w:ind w:firstLine="540"/>
        <w:jc w:val="both"/>
      </w:pPr>
      <w:bookmarkStart w:id="4" w:name="P52"/>
      <w:bookmarkEnd w:id="4"/>
      <w:r>
        <w:t>в) копия договора с изготовителем (в том числе с иностранным изготовителем), предусматривающего обеспечение соответствия поставляемой на таможенную территорию Союза продукции требованиям технического регламента (технических регламентов) и ответственность за несоответствие такой продукции указанным требованиям (для уполномоченного изготовителем лица), заверенная печатью (если иное не установлено законодательством государства-члена) и подписью заявителя;</w:t>
      </w:r>
    </w:p>
    <w:p w:rsidR="00D7756C" w:rsidRDefault="00D7756C">
      <w:pPr>
        <w:pStyle w:val="ConsPlusNormal"/>
        <w:spacing w:before="220"/>
        <w:ind w:firstLine="540"/>
        <w:jc w:val="both"/>
      </w:pPr>
      <w:bookmarkStart w:id="5" w:name="P53"/>
      <w:bookmarkEnd w:id="5"/>
      <w:r>
        <w:t>г) копии доказательственных материалов, представление которых для регистрации декларации о соответствии предусмотрено техническим регламентом (техническими регламентами), в том числе результаты исследований (испытаний) и измерений продукции, подтверждающие соблюдение требований технического регламента (технических регламентов), действие которого на нее распространяется (в случае если техническим регламентом предусмотрено проведение исследований (испытаний) и измерений декларируемой продукции), заверенные печатью (если иное не установлено законодательством государства-члена) и подписью заявителя.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 xml:space="preserve">6. В случае представления декларации о соответствии для регистрации в виде электронного документа декларация о соответствии и заявление, указанное в </w:t>
      </w:r>
      <w:hyperlink w:anchor="P41" w:history="1">
        <w:r>
          <w:rPr>
            <w:color w:val="0000FF"/>
          </w:rPr>
          <w:t>подпункте "а" пункта 5</w:t>
        </w:r>
      </w:hyperlink>
      <w:r>
        <w:t xml:space="preserve"> настоящего Порядка, подписываются с применением электронной цифровой подписи (электронной подписи), полученной заявителем в соответствии с законодательством государства-члена (далее - электронная цифровая подпись), а документы, указанные в </w:t>
      </w:r>
      <w:hyperlink w:anchor="P51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53" w:history="1">
        <w:r>
          <w:rPr>
            <w:color w:val="0000FF"/>
          </w:rPr>
          <w:t>"г" пункта 5</w:t>
        </w:r>
      </w:hyperlink>
      <w:r>
        <w:t xml:space="preserve"> настоящего Порядка, представляются в электронном виде.</w:t>
      </w:r>
    </w:p>
    <w:p w:rsidR="00D7756C" w:rsidRDefault="00D7756C">
      <w:pPr>
        <w:pStyle w:val="ConsPlusNormal"/>
        <w:spacing w:before="220"/>
        <w:ind w:firstLine="540"/>
        <w:jc w:val="both"/>
      </w:pPr>
      <w:bookmarkStart w:id="6" w:name="P55"/>
      <w:bookmarkEnd w:id="6"/>
      <w:r>
        <w:t>7. Уполномоченный орган (орган по сертификации) рассматривает представленные заявителем документы и сведения на предмет: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 xml:space="preserve">а) соблюдения требований к оформлению декларации о соответствии, установленных </w:t>
      </w:r>
      <w:hyperlink r:id="rId9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25 декабря 2012 г. N 293;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 xml:space="preserve">б) представления всех документов и сведений, предусмотренных </w:t>
      </w:r>
      <w:hyperlink w:anchor="P40" w:history="1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>в) наличия в техническом регламенте требования, устанавливающего, что соответствие определенного вида продукции требованиям технического регламента подтверждается в форме принятия декларации о соответствии;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lastRenderedPageBreak/>
        <w:t>г) соответствия заявителя, принявшего декларацию о соответствии, требованиям технического регламента, устанавливающим круг заявителей для определенного объекта декларирования соответствия (серийный выпуск, партия или единичное изделие).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 xml:space="preserve">8. По результатам рассмотрения в соответствии с </w:t>
      </w:r>
      <w:hyperlink w:anchor="P55" w:history="1">
        <w:r>
          <w:rPr>
            <w:color w:val="0000FF"/>
          </w:rPr>
          <w:t>пунктом 7</w:t>
        </w:r>
      </w:hyperlink>
      <w:r>
        <w:t xml:space="preserve"> настоящего Порядка документов и сведений, представленных заявителем, уполномоченный орган (орган по сертификации) осуществляет регистрацию декларации о соответствии посредством присвоения ей регистрационного номера либо уведомляет заявителя об отказе в ее регистрации (с указанием причин отказа) в срок, не превышающий 5 рабочих дней со дня получения декларации о соответствии.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 xml:space="preserve">9. В случае регистрации декларации о соответствии с использованием специализированного сервиса автоматизированной электронной регистрации деклараций о соответствии государства-члена уполномоченный орган осуществляет проверку соблюдения заявителем требований к оформлению декларации о соответствии, установленных </w:t>
      </w:r>
      <w:hyperlink r:id="rId10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25 декабря 2012 г. N 293, и требований к представлению документов и сведений, предусмотренных </w:t>
      </w:r>
      <w:hyperlink w:anchor="P40" w:history="1">
        <w:r>
          <w:rPr>
            <w:color w:val="0000FF"/>
          </w:rPr>
          <w:t>пунктом 5</w:t>
        </w:r>
      </w:hyperlink>
      <w:r>
        <w:t xml:space="preserve"> настоящего Порядка, посредством структурного и форматно-логического контроля в соответствии с законодательством государства-члена.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 xml:space="preserve">10. В национальную часть единого реестра вносятся сведения о декларации о соответствии в порядке, утверждаемом Евразийской экономической комиссией, а также сведения о документах, указанных в </w:t>
      </w:r>
      <w:hyperlink w:anchor="P52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53" w:history="1">
        <w:r>
          <w:rPr>
            <w:color w:val="0000FF"/>
          </w:rPr>
          <w:t>"г" пункта 5</w:t>
        </w:r>
      </w:hyperlink>
      <w:r>
        <w:t xml:space="preserve"> настоящего Порядка.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>11. Уведомление об отказе в регистрации декларации о соответствии направляется заявителю в электронном виде с использованием информационно-телекоммуникационной сети "Интернет" либо в виде документа на бумажном носителе заказным почтовым отправлением с уведомлением о вручении или вручается заявителю.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>12. Основаниями для отказа в регистрации декларации о соответствии являются: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 xml:space="preserve">а) несоблюдение заявителем требований к оформлению декларации о соответствии, установленных </w:t>
      </w:r>
      <w:hyperlink r:id="rId11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25 декабря 2012 г. N 293;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 xml:space="preserve">б) представление документов и сведений, предусмотренных </w:t>
      </w:r>
      <w:hyperlink w:anchor="P40" w:history="1">
        <w:r>
          <w:rPr>
            <w:color w:val="0000FF"/>
          </w:rPr>
          <w:t>пунктом 5</w:t>
        </w:r>
      </w:hyperlink>
      <w:r>
        <w:t xml:space="preserve"> настоящего Порядка, не в полном объеме;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>в) отсутствие в техническом регламенте требования, устанавливающего, что соответствие определенного вида продукции требованиям технического регламента подтверждается в форме принятия декларации о соответствии;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>г) несоответствие заявителя, принявшего декларацию о соответствии, требованиям технического регламента, устанавливающим круг заявителей для определенного объекта декларирования соответствия (серийный выпуск, партия или единичное изделие);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>д) отсутствие в декларации о соответствии и в заявлении о регистрации декларации о соответствии, представленных заявителем в виде электронных документов, электронной цифровой подписи.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>13. Необходимость оплаты регистрации декларации о соответствии и в случае ее установления порядок такой оплаты определяются законодательством государств-членов.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>14. Внесение изменений в зарегистрированную декларацию о соответствии не допускается. При необходимости внесения изменений заявитель принимает новую декларацию о соответствии и осуществляет ее регистрацию согласно настоящему Порядку.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lastRenderedPageBreak/>
        <w:t xml:space="preserve">15. Заявитель принимает новую декларацию о соответствии и осуществляет ее регистрацию без представления документов и сведений, предусмотренных </w:t>
      </w:r>
      <w:hyperlink w:anchor="P51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53" w:history="1">
        <w:r>
          <w:rPr>
            <w:color w:val="0000FF"/>
          </w:rPr>
          <w:t>"г" пункта 5</w:t>
        </w:r>
      </w:hyperlink>
      <w:r>
        <w:t xml:space="preserve"> настоящего Порядка, в следующих случаях: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>выявление в декларации о соответствии и приложениях к ней ошибок (опечаток);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>изменение организационно-правовой формы, места нахождения (адреса юридического лица), адреса места осуществления деятельности (в случае, если адреса различаются), номера телефона и (или) адреса электронной почты заявителя;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>изменение организационно-правовой формы, места нахождения (адреса юридического лица) изготовителя продукции;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 xml:space="preserve">изменение кода (кодов) </w:t>
      </w:r>
      <w:hyperlink r:id="rId12" w:history="1">
        <w:r>
          <w:rPr>
            <w:color w:val="0000FF"/>
          </w:rPr>
          <w:t>ТН ВЭД ЕАЭС</w:t>
        </w:r>
      </w:hyperlink>
      <w:r>
        <w:t>;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>сокращение количества адресов мест осуществления деятельности по изготовлению продукции.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 xml:space="preserve">В случае изменения номера телефона и (или) адреса электронной почты заявителя, а также кода (кодов) </w:t>
      </w:r>
      <w:hyperlink r:id="rId13" w:history="1">
        <w:r>
          <w:rPr>
            <w:color w:val="0000FF"/>
          </w:rPr>
          <w:t>ТН ВЭД ЕАЭС</w:t>
        </w:r>
      </w:hyperlink>
      <w:r>
        <w:t xml:space="preserve"> замена декларации о соответствии и (или) приложений к ней не требуется и осуществляется по усмотрению заявителя.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 xml:space="preserve">16. Заявление, указанное в </w:t>
      </w:r>
      <w:hyperlink w:anchor="P41" w:history="1">
        <w:r>
          <w:rPr>
            <w:color w:val="0000FF"/>
          </w:rPr>
          <w:t>подпункте "а" пункта 5</w:t>
        </w:r>
      </w:hyperlink>
      <w:r>
        <w:t xml:space="preserve"> настоящего Порядка, и копия зарегистрированной декларации о соответствии с приложением документов и сведений, указанных в </w:t>
      </w:r>
      <w:hyperlink w:anchor="P51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53" w:history="1">
        <w:r>
          <w:rPr>
            <w:color w:val="0000FF"/>
          </w:rPr>
          <w:t>"г" пункта 5</w:t>
        </w:r>
      </w:hyperlink>
      <w:r>
        <w:t xml:space="preserve"> настоящего Порядка, хранятся в соответствии с законодательством государств-членов на бумажных и (или) электронных носителях в уполномоченном органе (органе по сертификации) в течение не менее 5 лет после окончания срока действия декларации о соответствии, а если срок действия декларации о соответствии не ограничен, - не менее 10 лет с даты ее регистрации.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>Требования к хранению у заявителя декларации о соответствии на бумажном и (или) электронном носителях с приложением документов, предусмотренных техническим регламентом (техническими регламентами), устанавливаются техническим регламентом (техническими регламентами).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>В случае если техническим регламентом (техническими регламентами) не установлен срок хранения у заявителя декларации о соответствии с приложением документов, срок хранения составляет 10 лет с даты ее регистрации.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>В случае если на продукцию распространяется действие нескольких технических регламентов, которые устанавливают разные сроки хранения у заявителя декларации о соответствии с приложением документов, применяется наибольший из установленных сроков хранения.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 xml:space="preserve">17. Копия зарегистрированной декларации о соответствии, документы и сведения, указанные в </w:t>
      </w:r>
      <w:hyperlink w:anchor="P40" w:history="1">
        <w:r>
          <w:rPr>
            <w:color w:val="0000FF"/>
          </w:rPr>
          <w:t>пункте 5</w:t>
        </w:r>
      </w:hyperlink>
      <w:r>
        <w:t xml:space="preserve"> настоящего Порядка, представляются органам государства-члена, ответственным за осуществление государственного контроля (надзора) за соблюдением требований технического регламента (далее - органы государственного контроля (надзора)), по их требованию.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>18. Основанием для приостановления действия декларации о соответствии, зарегистрированной в национальной части единого реестра, является выдача заявителю органом государственного контроля (надзора) соответствующего государства-члена предписания о приостановлении действия декларации о соответствии.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 xml:space="preserve">Выдача указанного предписания, а также приостановление (возобновление) действия </w:t>
      </w:r>
      <w:r>
        <w:lastRenderedPageBreak/>
        <w:t>декларации о соответствии осуществляются в случаях и порядке, предусмотренных законодательством государства-члена.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>19. Основаниями для прекращения действия декларации о соответствии являются: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>принятие заявителем решения о прекращении действия декларации о соответствии;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>выдача заявителю органом государственного контроля (надзора) предписания (принятие указанным органом решения) о прекращении действия декларации о соответствии, зарегистрированной в национальной части единого реестра соответствующего государства-члена;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>принятие органом государственного контроля (надзора) решения о признании декларации о соответствии, зарегистрированной в национальной части соответствующего государства-члена, недействительной.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>Принятие указанных решений (выдача указанного предписания), а также прекращение действия декларации о соответствии осуществляются в соответствии с законодательством государства-члена.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>20. В случае принятия заявителем решения о прекращении действия декларации о соответствии заявитель представляет в уполномоченный орган (орган по сертификации) уведомление о прекращении действия декларации о соответствии по решению заявителя.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>Указанное уведомление должно быть заверено печатью (если иное не установлено законодательством государства-члена) и подписью заявителя и содержать сведения о регистрационном номере, дате регистрации декларации о соответствии и причине прекращения действия декларации о соответствии.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>В случае направления уведомления в электронном виде с использованием информационно-телекоммуникационной сети "Интернет" оно подписывается с применением электронной цифровой подписи.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>21. Уполномоченный орган (орган по сертификации) на основании полученного уведомления о прекращении действия декларации о соответствии по решению заявителя в срок, не превышающий 3 рабочих дней со дня представления указанного уведомления, осуществляет внесение в единый реестр сведений о дате прекращения действия декларации о соответствии.</w:t>
      </w:r>
    </w:p>
    <w:p w:rsidR="00D7756C" w:rsidRDefault="00D7756C">
      <w:pPr>
        <w:pStyle w:val="ConsPlusNormal"/>
        <w:spacing w:before="220"/>
        <w:ind w:firstLine="540"/>
        <w:jc w:val="both"/>
      </w:pPr>
      <w:bookmarkStart w:id="7" w:name="P95"/>
      <w:bookmarkEnd w:id="7"/>
      <w:r>
        <w:t>22. Информация о выдаче заявителю органом государственного контроля (надзора) предписания о приостановлении, прекращении действия декларации о соответствии, принятии решения о прекращении (возобновлении) действия декларации о соответствии, действие которой было приостановлено по предписанию этого органа, либо решения о признании декларации о соответствии недействительной направляется в орган соответствующего государства-члена, ответственный за формирование и ведение национальной части единого реестра, если это предусмотрено законодательством такого государства.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 xml:space="preserve">23. Орган государства-члена, ответственный за формирование и ведение национальной части единого реестра, в течение 3 рабочих дней со дня получения информации, указанной в </w:t>
      </w:r>
      <w:hyperlink w:anchor="P95" w:history="1">
        <w:r>
          <w:rPr>
            <w:color w:val="0000FF"/>
          </w:rPr>
          <w:t>пункте 22</w:t>
        </w:r>
      </w:hyperlink>
      <w:r>
        <w:t xml:space="preserve"> настоящего Порядка, осуществляет внесение в единый реестр сведений о дате и регистрационном номере предписания (решения).</w:t>
      </w:r>
    </w:p>
    <w:p w:rsidR="00D7756C" w:rsidRDefault="00D7756C">
      <w:pPr>
        <w:pStyle w:val="ConsPlusNormal"/>
        <w:spacing w:before="220"/>
        <w:ind w:firstLine="540"/>
        <w:jc w:val="both"/>
      </w:pPr>
      <w:r>
        <w:t>24. Действие декларации о соответствии считается приостановленным, возобновленным или прекращенным с даты внесения в единый реестр соответствующих сведений.</w:t>
      </w:r>
    </w:p>
    <w:p w:rsidR="00D7756C" w:rsidRDefault="00D7756C">
      <w:pPr>
        <w:pStyle w:val="ConsPlusNormal"/>
        <w:jc w:val="both"/>
      </w:pPr>
    </w:p>
    <w:p w:rsidR="00D7756C" w:rsidRDefault="00D7756C">
      <w:pPr>
        <w:pStyle w:val="ConsPlusNormal"/>
        <w:jc w:val="both"/>
      </w:pPr>
    </w:p>
    <w:p w:rsidR="00D7756C" w:rsidRDefault="00D775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6A28" w:rsidRDefault="00D7756C"/>
    <w:sectPr w:rsidR="00396A28" w:rsidSect="00F4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756C"/>
    <w:rsid w:val="006F48A3"/>
    <w:rsid w:val="00D7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7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192FA9B1645C0BCB9FC58425D2F0A89935FB45864DE74BE3B6B4D6D0827CF179F1C1BB1A5827F7pEI" TargetMode="External"/><Relationship Id="rId13" Type="http://schemas.openxmlformats.org/officeDocument/2006/relationships/hyperlink" Target="consultantplus://offline/ref=A5192FA9B1645C0BCB9FC58425D2F0A89935FB45864DE74BE3B6B4D6D0827CF179F1C1BB1A5827F7p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192FA9B1645C0BCB9FC58425D2F0A8993CF4498B40E74BE3B6B4D6D0827CF179F1C1BEF1p7I" TargetMode="External"/><Relationship Id="rId12" Type="http://schemas.openxmlformats.org/officeDocument/2006/relationships/hyperlink" Target="consultantplus://offline/ref=A5192FA9B1645C0BCB9FC58425D2F0A89935FB45864DE74BE3B6B4D6D0827CF179F1C1BB1A5827F7p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192FA9B1645C0BCB9FC58425D2F0A89A38F64D814CE74BE3B6B4D6D0F8p2I" TargetMode="External"/><Relationship Id="rId11" Type="http://schemas.openxmlformats.org/officeDocument/2006/relationships/hyperlink" Target="consultantplus://offline/ref=A5192FA9B1645C0BCB9FC58425D2F0A8993CF4498B40E74BE3B6B4D6D0F8p2I" TargetMode="External"/><Relationship Id="rId5" Type="http://schemas.openxmlformats.org/officeDocument/2006/relationships/hyperlink" Target="consultantplus://offline/ref=A5192FA9B1645C0BCB9FC58425D2F0A8993DF14A844DE74BE3B6B4D6D0827CF179F1C1B912512476FEp5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5192FA9B1645C0BCB9FC58425D2F0A8993CF4498B40E74BE3B6B4D6D0F8p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5192FA9B1645C0BCB9FC58425D2F0A8993CF4498B40E74BE3B6B4D6D0F8p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2884</Words>
  <Characters>16443</Characters>
  <Application>Microsoft Office Word</Application>
  <DocSecurity>0</DocSecurity>
  <Lines>137</Lines>
  <Paragraphs>38</Paragraphs>
  <ScaleCrop>false</ScaleCrop>
  <Company>Bite Of Storm</Company>
  <LinksUpToDate>false</LinksUpToDate>
  <CharactersWithSpaces>19289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Щеглова</dc:creator>
  <cp:lastModifiedBy>Анна В. Щеглова</cp:lastModifiedBy>
  <cp:revision>1</cp:revision>
  <dcterms:created xsi:type="dcterms:W3CDTF">2018-07-04T08:41:00Z</dcterms:created>
  <dcterms:modified xsi:type="dcterms:W3CDTF">2018-07-04T08:41:00Z</dcterms:modified>
</cp:coreProperties>
</file>